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63" w:rsidRDefault="005E4263" w:rsidP="005E4263">
      <w:pPr>
        <w:spacing w:after="0" w:line="276" w:lineRule="auto"/>
        <w:jc w:val="right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  <w:r w:rsidRPr="005053E4">
        <w:rPr>
          <w:rFonts w:eastAsia="Times New Roman" w:cs="Calibri"/>
          <w:sz w:val="20"/>
          <w:szCs w:val="20"/>
          <w:lang w:eastAsia="pl-PL"/>
        </w:rPr>
        <w:t xml:space="preserve">Załącznik nr 4 </w:t>
      </w:r>
    </w:p>
    <w:p w:rsidR="005E4263" w:rsidRPr="005053E4" w:rsidRDefault="005E4263" w:rsidP="005E4263">
      <w:pPr>
        <w:spacing w:after="0" w:line="276" w:lineRule="auto"/>
        <w:jc w:val="right"/>
        <w:rPr>
          <w:rFonts w:eastAsia="Times New Roman" w:cs="Calibri"/>
          <w:sz w:val="20"/>
          <w:szCs w:val="20"/>
          <w:lang w:eastAsia="pl-PL"/>
        </w:rPr>
      </w:pPr>
      <w:r w:rsidRPr="005053E4">
        <w:rPr>
          <w:rFonts w:eastAsia="Times New Roman" w:cs="Calibri"/>
          <w:sz w:val="20"/>
          <w:szCs w:val="20"/>
          <w:lang w:eastAsia="pl-PL"/>
        </w:rPr>
        <w:t>do Procedury zgłoszeń wewnętrznych</w:t>
      </w:r>
    </w:p>
    <w:p w:rsidR="005E4263" w:rsidRPr="00EA18AA" w:rsidRDefault="005E4263" w:rsidP="005E4263">
      <w:pPr>
        <w:spacing w:after="0" w:line="240" w:lineRule="auto"/>
        <w:rPr>
          <w:rFonts w:eastAsia="Times New Roman" w:cs="Calibri"/>
          <w:i/>
          <w:lang w:eastAsia="pl-PL"/>
        </w:rPr>
      </w:pPr>
    </w:p>
    <w:p w:rsidR="005E4263" w:rsidRPr="00EA18AA" w:rsidRDefault="005E4263" w:rsidP="005E4263">
      <w:pPr>
        <w:spacing w:after="0" w:line="240" w:lineRule="auto"/>
        <w:jc w:val="right"/>
        <w:rPr>
          <w:rFonts w:eastAsia="Times New Roman" w:cs="Calibri"/>
          <w:i/>
          <w:lang w:eastAsia="pl-PL"/>
        </w:rPr>
      </w:pPr>
    </w:p>
    <w:p w:rsidR="005E4263" w:rsidRPr="00BE2041" w:rsidRDefault="005E4263" w:rsidP="005E4263">
      <w:pPr>
        <w:spacing w:after="0" w:line="240" w:lineRule="auto"/>
        <w:jc w:val="center"/>
        <w:rPr>
          <w:rFonts w:cs="Calibri"/>
          <w:b/>
        </w:rPr>
      </w:pPr>
      <w:r w:rsidRPr="00BE2041">
        <w:rPr>
          <w:rFonts w:cs="Calibri"/>
          <w:b/>
        </w:rPr>
        <w:t>Formularz zgłoszenia wewnętrznego</w:t>
      </w:r>
    </w:p>
    <w:p w:rsidR="005E4263" w:rsidRPr="00BE2041" w:rsidRDefault="005E4263" w:rsidP="005E4263">
      <w:pPr>
        <w:spacing w:after="0" w:line="240" w:lineRule="auto"/>
        <w:jc w:val="center"/>
        <w:rPr>
          <w:rFonts w:cs="Calibri"/>
          <w:b/>
        </w:rPr>
      </w:pPr>
    </w:p>
    <w:p w:rsidR="005E4263" w:rsidRPr="00BE2041" w:rsidRDefault="005E4263" w:rsidP="005E4263">
      <w:pPr>
        <w:tabs>
          <w:tab w:val="left" w:pos="3119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Nazwa podmiotu prawnego: </w:t>
      </w:r>
      <w:r w:rsidRPr="00E91719">
        <w:rPr>
          <w:rFonts w:cs="Calibri"/>
          <w:b/>
        </w:rPr>
        <w:t>Szkoła Podstawowa nr 1 im. Zofii Urbanowskiej w Koninie</w:t>
      </w:r>
    </w:p>
    <w:p w:rsidR="005E4263" w:rsidRPr="00BE2041" w:rsidRDefault="005E4263" w:rsidP="005E4263">
      <w:pPr>
        <w:spacing w:after="0" w:line="240" w:lineRule="auto"/>
        <w:rPr>
          <w:rFonts w:cs="Calibri"/>
        </w:rPr>
      </w:pPr>
      <w:r w:rsidRPr="00BE2041">
        <w:rPr>
          <w:rFonts w:cs="Calibri"/>
        </w:rPr>
        <w:tab/>
      </w:r>
      <w:r w:rsidRPr="00BE2041">
        <w:rPr>
          <w:rFonts w:cs="Calibri"/>
        </w:rPr>
        <w:tab/>
      </w:r>
      <w:r w:rsidRPr="00BE2041">
        <w:rPr>
          <w:rFonts w:cs="Calibri"/>
        </w:rPr>
        <w:tab/>
      </w:r>
      <w:r w:rsidRPr="00BE2041">
        <w:rPr>
          <w:rFonts w:cs="Calibri"/>
        </w:rPr>
        <w:tab/>
      </w:r>
      <w:r w:rsidRPr="00BE2041">
        <w:rPr>
          <w:rFonts w:cs="Calibri"/>
        </w:rPr>
        <w:tab/>
      </w:r>
    </w:p>
    <w:p w:rsidR="005E4263" w:rsidRDefault="005E4263" w:rsidP="005E4263">
      <w:pPr>
        <w:pStyle w:val="Nagwek2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E2041">
        <w:rPr>
          <w:rFonts w:ascii="Calibri" w:hAnsi="Calibri" w:cs="Calibri"/>
          <w:sz w:val="22"/>
          <w:szCs w:val="22"/>
        </w:rPr>
        <w:t>Uzyskanie informacji o naruszeniu prawa w kontekście związanym z pracą.</w:t>
      </w:r>
    </w:p>
    <w:p w:rsidR="005E4263" w:rsidRPr="00F005F6" w:rsidRDefault="005E4263" w:rsidP="005E4263"/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7240"/>
        <w:gridCol w:w="564"/>
        <w:gridCol w:w="564"/>
      </w:tblGrid>
      <w:tr w:rsidR="005E4263" w:rsidRPr="0024641B" w:rsidTr="002058DF">
        <w:trPr>
          <w:trHeight w:val="367"/>
        </w:trPr>
        <w:tc>
          <w:tcPr>
            <w:tcW w:w="1211" w:type="dxa"/>
            <w:vMerge w:val="restart"/>
            <w:shd w:val="clear" w:color="auto" w:fill="EEECE1"/>
          </w:tcPr>
          <w:p w:rsidR="005E4263" w:rsidRPr="0024641B" w:rsidRDefault="005E4263" w:rsidP="002058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24641B">
              <w:rPr>
                <w:rFonts w:cs="Calibri"/>
                <w:b/>
                <w:bCs/>
                <w:sz w:val="20"/>
                <w:szCs w:val="20"/>
              </w:rPr>
              <w:t>Czy składasz informację o naruszeniu prawa uzyskaną w kontekście związanym z pracą jako:</w:t>
            </w:r>
          </w:p>
        </w:tc>
        <w:tc>
          <w:tcPr>
            <w:tcW w:w="7240" w:type="dxa"/>
            <w:shd w:val="clear" w:color="auto" w:fill="EEECE1"/>
          </w:tcPr>
          <w:p w:rsidR="005E4263" w:rsidRPr="0024641B" w:rsidRDefault="005E4263" w:rsidP="002058D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EEECE1"/>
          </w:tcPr>
          <w:p w:rsidR="005E4263" w:rsidRPr="0024641B" w:rsidRDefault="005E4263" w:rsidP="002058D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641B">
              <w:rPr>
                <w:rFonts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64" w:type="dxa"/>
            <w:shd w:val="clear" w:color="auto" w:fill="EEECE1"/>
          </w:tcPr>
          <w:p w:rsidR="005E4263" w:rsidRPr="0024641B" w:rsidRDefault="005E4263" w:rsidP="002058DF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4641B">
              <w:rPr>
                <w:rFonts w:cs="Calibri"/>
                <w:b/>
                <w:bCs/>
                <w:sz w:val="20"/>
                <w:szCs w:val="20"/>
              </w:rPr>
              <w:t>NIE</w:t>
            </w: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pracownik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pracownik tymczasowy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osoba świadcząca pracę na innej podstawie niż stosunek pracy, w tym na podstawie umowy cywilnoprawnej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przedsiębiorca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prokurent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akcjonariusz lub wspólnik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członek organu osoby prawnej lub jednostki organizacyjnej nieposiadającej osobowości prawnej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osoba świadcząca pracę pod nadzorem i kierownictwem wykonawcy, podwykonawcy lub dostawcy, w tym na podstawie umowy cywilnoprawnej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stażysta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wolontariusz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praktykant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 xml:space="preserve">funkcjonariusz w rozumieniu art. 1 ust. 1 ustawy z dnia 18 lutego 1994 r. </w:t>
            </w:r>
            <w:r w:rsidRPr="0024641B">
              <w:rPr>
                <w:rFonts w:cs="Calibri"/>
                <w:sz w:val="20"/>
                <w:szCs w:val="20"/>
              </w:rPr>
              <w:br/>
              <w:t xml:space="preserve"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</w:t>
            </w:r>
            <w:bookmarkStart w:id="1" w:name="_Hlk125627124"/>
            <w:r w:rsidRPr="0024641B">
              <w:rPr>
                <w:rFonts w:cs="Calibri"/>
                <w:sz w:val="20"/>
                <w:szCs w:val="20"/>
              </w:rPr>
              <w:t>(Dz. U. z 2024 r. poz. 1121 z późn. zm.)</w:t>
            </w:r>
            <w:bookmarkEnd w:id="1"/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rPr>
          <w:trHeight w:val="128"/>
        </w:trPr>
        <w:tc>
          <w:tcPr>
            <w:tcW w:w="1211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40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żołnierz w rozumieniu art. 2 pkt 39 ustawy z dnia 11 marca 2022 r. o obronie Ojczyzny (Dz. U. z 2024 r. poz. 248 z późn. zm.)</w:t>
            </w: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E4263" w:rsidRPr="000314EC" w:rsidRDefault="005E4263" w:rsidP="005E426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282"/>
        <w:gridCol w:w="567"/>
        <w:gridCol w:w="567"/>
      </w:tblGrid>
      <w:tr w:rsidR="005E4263" w:rsidRPr="0024641B" w:rsidTr="002058DF">
        <w:tc>
          <w:tcPr>
            <w:tcW w:w="1218" w:type="dxa"/>
            <w:vMerge w:val="restart"/>
            <w:shd w:val="clear" w:color="auto" w:fill="EEECE1"/>
          </w:tcPr>
          <w:p w:rsidR="005E4263" w:rsidRPr="0024641B" w:rsidRDefault="005E4263" w:rsidP="002058DF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24641B">
              <w:rPr>
                <w:rFonts w:cs="Calibri"/>
                <w:b/>
                <w:bCs/>
                <w:sz w:val="20"/>
                <w:szCs w:val="20"/>
              </w:rPr>
              <w:t>Czy składasz zgłoszenie informacji o naruszeniu prawa</w:t>
            </w:r>
          </w:p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EEECE1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EEECE1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b/>
                <w:bCs/>
                <w:sz w:val="20"/>
                <w:szCs w:val="20"/>
              </w:rPr>
              <w:t>NIE</w:t>
            </w:r>
          </w:p>
        </w:tc>
      </w:tr>
      <w:tr w:rsidR="005E4263" w:rsidRPr="0024641B" w:rsidTr="002058DF">
        <w:tc>
          <w:tcPr>
            <w:tcW w:w="1218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uzyskanej w kontekście związanym z pracą przed nawiązaniem* / po ustaniu* stosunku pracy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c>
          <w:tcPr>
            <w:tcW w:w="1218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uzyskanej w kontekście związanym z pracą przed nawiązaniem* / po ustaniu* innego niż stosunek pracy stosunku prawnego stanowiącego podstawę świadczenia pracy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c>
          <w:tcPr>
            <w:tcW w:w="1218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uzyskanej w kontekście związanym z pracą przed nawiązaniem* / po ustaniu* innego niż stosunek pracy stosunku prawnego stanowiącego podstawę świadczenia usług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c>
          <w:tcPr>
            <w:tcW w:w="1218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 xml:space="preserve">uzyskanej w kontekście związanym z pracą przed nawiązaniem* / po ustaniu* innego niż stosunek pracy stosunku prawnego stanowiącego podstawę pełnienia funkcji </w:t>
            </w:r>
            <w:r w:rsidRPr="0024641B">
              <w:rPr>
                <w:rFonts w:cs="Calibri"/>
                <w:sz w:val="20"/>
                <w:szCs w:val="20"/>
              </w:rPr>
              <w:br/>
              <w:t>w podmiocie prawnym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c>
          <w:tcPr>
            <w:tcW w:w="1218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>uzyskanej w kontekście związanym z pracą przed nawiązaniem* / po ustaniu* innego niż stosunek pracy stosunku prawnego stanowiącego podstawę pełnienia funkcji na rzecz podmiotu prawnym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  <w:tr w:rsidR="005E4263" w:rsidRPr="0024641B" w:rsidTr="002058DF">
        <w:tc>
          <w:tcPr>
            <w:tcW w:w="1218" w:type="dxa"/>
            <w:vMerge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282" w:type="dxa"/>
            <w:shd w:val="clear" w:color="auto" w:fill="auto"/>
          </w:tcPr>
          <w:p w:rsidR="005E4263" w:rsidRPr="0024641B" w:rsidRDefault="005E4263" w:rsidP="002058DF">
            <w:pPr>
              <w:jc w:val="both"/>
              <w:rPr>
                <w:rFonts w:cs="Calibri"/>
                <w:sz w:val="20"/>
                <w:szCs w:val="20"/>
              </w:rPr>
            </w:pPr>
            <w:r w:rsidRPr="0024641B">
              <w:rPr>
                <w:rFonts w:cs="Calibri"/>
                <w:sz w:val="20"/>
                <w:szCs w:val="20"/>
              </w:rPr>
              <w:t xml:space="preserve"> uzyskanej w kontekście związanym z pracą przed nawiązaniem* / po ustaniu* innego niż stosunek pracy stosunku prawnego stanowiącego podstawę pełnienia służby </w:t>
            </w:r>
            <w:r w:rsidRPr="0024641B">
              <w:rPr>
                <w:rFonts w:cs="Calibri"/>
                <w:sz w:val="20"/>
                <w:szCs w:val="20"/>
              </w:rPr>
              <w:br/>
              <w:t xml:space="preserve">w podmiocie prawnym 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E4263" w:rsidRPr="00BE2041" w:rsidRDefault="005E4263" w:rsidP="005E4263">
      <w:pPr>
        <w:rPr>
          <w:rFonts w:cs="Calibri"/>
        </w:rPr>
      </w:pP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Data i miejsce pozyskania informacji o naruszeniu prawa, którego dotyczy zgłoszenie wewnętrzne: 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E2041">
        <w:rPr>
          <w:rFonts w:cs="Calibri"/>
        </w:rPr>
        <w:t>.</w:t>
      </w:r>
    </w:p>
    <w:p w:rsidR="005E4263" w:rsidRDefault="005E4263" w:rsidP="005E4263">
      <w:pPr>
        <w:spacing w:after="0" w:line="276" w:lineRule="auto"/>
        <w:jc w:val="both"/>
        <w:rPr>
          <w:rFonts w:cs="Calibri"/>
        </w:rPr>
      </w:pPr>
    </w:p>
    <w:p w:rsidR="005E4263" w:rsidRPr="00BE2041" w:rsidRDefault="005E4263" w:rsidP="005E4263">
      <w:pPr>
        <w:spacing w:after="0" w:line="276" w:lineRule="auto"/>
        <w:jc w:val="both"/>
        <w:rPr>
          <w:rFonts w:cs="Calibri"/>
        </w:rPr>
        <w:sectPr w:rsidR="005E4263" w:rsidRPr="00BE2041" w:rsidSect="0024641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  <w:gridCol w:w="563"/>
        <w:gridCol w:w="556"/>
      </w:tblGrid>
      <w:tr w:rsidR="005E4263" w:rsidRPr="0024641B" w:rsidTr="002058DF">
        <w:tc>
          <w:tcPr>
            <w:tcW w:w="8500" w:type="dxa"/>
            <w:shd w:val="clear" w:color="auto" w:fill="EEECE1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b/>
                <w:bCs/>
                <w:sz w:val="20"/>
              </w:rPr>
            </w:pPr>
            <w:r w:rsidRPr="0024641B">
              <w:rPr>
                <w:rFonts w:ascii="Calibri" w:hAnsi="Calibri" w:cs="Calibri"/>
                <w:b/>
                <w:bCs/>
                <w:sz w:val="20"/>
              </w:rPr>
              <w:lastRenderedPageBreak/>
              <w:t>Czy naruszenie prawa, które zgłaszasz jest działaniem niezgodnym z prawem lub zaniechaniem niezgodnym z prawem lub działaniem lub zaniechaniem mającym na celu obejście prawa, które dotyczy dotyczące.</w:t>
            </w:r>
          </w:p>
        </w:tc>
        <w:tc>
          <w:tcPr>
            <w:tcW w:w="567" w:type="dxa"/>
            <w:shd w:val="clear" w:color="auto" w:fill="EEECE1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jc w:val="center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b/>
                <w:bCs/>
                <w:sz w:val="20"/>
              </w:rPr>
              <w:t>TAK</w:t>
            </w:r>
          </w:p>
        </w:tc>
        <w:tc>
          <w:tcPr>
            <w:tcW w:w="567" w:type="dxa"/>
            <w:shd w:val="clear" w:color="auto" w:fill="EEECE1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jc w:val="center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b/>
                <w:bCs/>
                <w:sz w:val="20"/>
              </w:rPr>
              <w:t>NIE</w:t>
            </w: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korupcji;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zamówień publicznych;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usług, produktów i rynków finansowych;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przeciwdziałania praniu pieniędzy oraz finansowaniu terroryzmu;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bezpieczeństwa produktów i ich zgodności z wymogami;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bezpieczeństwa transportu;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ochrony środowiska;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ochrony radiologicznej i bezpieczeństwa jądrowego;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bezpieczeństwa żywności i pasz;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zdrowia i dobrostanu zwierząt;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1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zdrowia publicznego;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ARTartustawynprozporzdzenia"/>
              <w:numPr>
                <w:ilvl w:val="0"/>
                <w:numId w:val="1"/>
              </w:numPr>
              <w:spacing w:before="0"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ochrony konsumentów;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ARTartustawynprozporzdzenia"/>
              <w:numPr>
                <w:ilvl w:val="0"/>
                <w:numId w:val="1"/>
              </w:numPr>
              <w:spacing w:before="0"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ochrony prywatności i danych osobowych;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ARTartustawynprozporzdzenia"/>
              <w:numPr>
                <w:ilvl w:val="0"/>
                <w:numId w:val="1"/>
              </w:numPr>
              <w:spacing w:before="0"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bezpieczeństwa sieci i systemów teleinformatycznych;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ARTartustawynprozporzdzenia"/>
              <w:numPr>
                <w:ilvl w:val="0"/>
                <w:numId w:val="1"/>
              </w:numPr>
              <w:spacing w:before="0"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interesów finansowych Skarbu Państwa Rzeczypospolitej Polskiej, jednostki samorządu terytorialnego oraz Unii Europejskiej;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ARTartustawynprozporzdzenia"/>
              <w:numPr>
                <w:ilvl w:val="0"/>
                <w:numId w:val="1"/>
              </w:numPr>
              <w:spacing w:before="0"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rynku wewnętrznego Unii Europejskiej, w tym publicznoprawnych zasad konkurencji i pomocy państwa oraz opodatkowania osób prawnych;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ARTartustawynprozporzdzenia"/>
              <w:numPr>
                <w:ilvl w:val="0"/>
                <w:numId w:val="1"/>
              </w:numPr>
              <w:spacing w:before="0"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 xml:space="preserve">konstytucyjnych wolności i praw człowieka i obywatela – występujące w stosunkach jednostki </w:t>
            </w:r>
            <w:r w:rsidRPr="0024641B">
              <w:rPr>
                <w:rFonts w:ascii="Calibri" w:hAnsi="Calibri" w:cs="Calibri"/>
                <w:sz w:val="20"/>
              </w:rPr>
              <w:br/>
              <w:t>z organami władzy publicznej i niezwiązane z dziedzinami wskazanymi w pkt 1-16.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2058DF">
            <w:pPr>
              <w:pStyle w:val="PKTpunkt"/>
              <w:spacing w:line="276" w:lineRule="auto"/>
              <w:ind w:left="425" w:hanging="312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18. Podmiot prawny przyjmuje zgłoszenia dotyczące naruszeń obowiązujących w podmiocie prawnym wymienionych poniżej regulacji wewnętrznych, które zostały ustanowione przez podmiot prawny na podstawie przepisów prawa powszechnie obowiązującego i pozostają z nimi zgodne.: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5E4263">
            <w:pPr>
              <w:pStyle w:val="PKTpunkt"/>
              <w:numPr>
                <w:ilvl w:val="0"/>
                <w:numId w:val="2"/>
              </w:numPr>
              <w:spacing w:line="276" w:lineRule="auto"/>
              <w:ind w:left="451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Podmiot prawny przyjmuje zgłoszenia dotyczące naruszeń obowiązujących w podmiocie prawnym wymienionych poniżej standardów etycznych, które zostały ustanowione przez podmiot prawny na podstawie przepisów prawa powszechnie obowiązującego i pozostają z nimi zgodne.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………………………………………………………………………………………………………………………………………………..…………….</w:t>
            </w:r>
          </w:p>
          <w:p w:rsidR="005E4263" w:rsidRPr="0024641B" w:rsidRDefault="005E4263" w:rsidP="002058DF">
            <w:pPr>
              <w:pStyle w:val="PKTpunkt"/>
              <w:spacing w:line="276" w:lineRule="auto"/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76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</w:tbl>
    <w:p w:rsidR="005E4263" w:rsidRDefault="005E4263" w:rsidP="005E4263">
      <w:pPr>
        <w:spacing w:after="0" w:line="276" w:lineRule="auto"/>
        <w:jc w:val="both"/>
        <w:rPr>
          <w:rFonts w:cs="Calibri"/>
          <w:sz w:val="20"/>
          <w:szCs w:val="20"/>
        </w:rPr>
      </w:pPr>
    </w:p>
    <w:p w:rsidR="005E4263" w:rsidRPr="00BE2041" w:rsidRDefault="005E4263" w:rsidP="005E4263">
      <w:pPr>
        <w:spacing w:after="0" w:line="276" w:lineRule="auto"/>
        <w:jc w:val="both"/>
        <w:rPr>
          <w:rFonts w:cs="Calibri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567"/>
        <w:gridCol w:w="567"/>
      </w:tblGrid>
      <w:tr w:rsidR="005E4263" w:rsidRPr="0024641B" w:rsidTr="002058DF">
        <w:tc>
          <w:tcPr>
            <w:tcW w:w="8500" w:type="dxa"/>
            <w:shd w:val="clear" w:color="auto" w:fill="EEECE1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b/>
                <w:sz w:val="20"/>
              </w:rPr>
            </w:pPr>
            <w:r w:rsidRPr="0024641B">
              <w:rPr>
                <w:rFonts w:ascii="Calibri" w:hAnsi="Calibri" w:cs="Calibri"/>
                <w:b/>
                <w:sz w:val="20"/>
              </w:rPr>
              <w:t>Cechy zgłaszanej informacji</w:t>
            </w:r>
          </w:p>
        </w:tc>
        <w:tc>
          <w:tcPr>
            <w:tcW w:w="567" w:type="dxa"/>
            <w:shd w:val="clear" w:color="auto" w:fill="EEECE1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b/>
                <w:bCs/>
                <w:sz w:val="20"/>
              </w:rPr>
              <w:t>TAK</w:t>
            </w:r>
          </w:p>
        </w:tc>
        <w:tc>
          <w:tcPr>
            <w:tcW w:w="567" w:type="dxa"/>
            <w:shd w:val="clear" w:color="auto" w:fill="EEECE1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b/>
                <w:bCs/>
                <w:sz w:val="20"/>
              </w:rPr>
              <w:t>NIE</w:t>
            </w: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 xml:space="preserve">Czy masz uzasadnione podstawy sądzić, że informacja, którą zamierzasz zgłosić przy pomocy niniejszego zgłoszenia jest prawdziwa w momencie, w którym dokonujesz zgłoszenia? 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  <w:tr w:rsidR="005E4263" w:rsidRPr="0024641B" w:rsidTr="002058DF">
        <w:tc>
          <w:tcPr>
            <w:tcW w:w="8500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  <w:r w:rsidRPr="0024641B">
              <w:rPr>
                <w:rFonts w:ascii="Calibri" w:hAnsi="Calibri" w:cs="Calibri"/>
                <w:sz w:val="20"/>
              </w:rPr>
              <w:t>Czy masz uzasadnione podstawy sądzić, że informacja, którą zamierzasz zgłosić przy pomocy niniejszego zgłoszenia stanowi informację o naruszeniu prawa?</w:t>
            </w: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3" w:rsidRPr="0024641B" w:rsidRDefault="005E4263" w:rsidP="002058DF">
            <w:pPr>
              <w:pStyle w:val="ARTartustawynprozporzdzenia"/>
              <w:spacing w:before="0" w:line="240" w:lineRule="auto"/>
              <w:ind w:firstLine="0"/>
              <w:rPr>
                <w:rFonts w:ascii="Calibri" w:hAnsi="Calibri" w:cs="Calibri"/>
                <w:sz w:val="20"/>
              </w:rPr>
            </w:pPr>
          </w:p>
        </w:tc>
      </w:tr>
    </w:tbl>
    <w:p w:rsidR="005E4263" w:rsidRPr="00BE2041" w:rsidRDefault="005E4263" w:rsidP="005E4263">
      <w:pPr>
        <w:pStyle w:val="ARTartustawynprozporzdzenia"/>
        <w:keepNext/>
        <w:spacing w:before="0" w:line="240" w:lineRule="auto"/>
        <w:ind w:firstLine="0"/>
        <w:jc w:val="left"/>
        <w:rPr>
          <w:rFonts w:ascii="Calibri" w:hAnsi="Calibri" w:cs="Calibri"/>
          <w:b/>
          <w:bCs/>
          <w:sz w:val="22"/>
          <w:szCs w:val="22"/>
        </w:rPr>
      </w:pPr>
    </w:p>
    <w:p w:rsidR="005E4263" w:rsidRDefault="005E4263" w:rsidP="005E4263">
      <w:pPr>
        <w:pStyle w:val="Akapitzlist"/>
        <w:spacing w:line="276" w:lineRule="auto"/>
        <w:ind w:left="0"/>
        <w:jc w:val="both"/>
        <w:rPr>
          <w:rFonts w:cs="Calibri"/>
          <w:b/>
          <w:bCs/>
        </w:rPr>
      </w:pP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  <w:b/>
          <w:bCs/>
        </w:rPr>
        <w:lastRenderedPageBreak/>
        <w:t>Opis okoliczności, które doprowadziły / które mogą doprowadzić do wystąpienia naruszenia prawa, którego dotyczy zgłoszenie wewnętrzne:</w:t>
      </w:r>
      <w:r w:rsidRPr="00BE2041">
        <w:rPr>
          <w:rFonts w:cs="Calibri"/>
        </w:rPr>
        <w:t xml:space="preserve"> ………………………………………………………………………</w:t>
      </w:r>
      <w:r>
        <w:rPr>
          <w:rFonts w:cs="Calibri"/>
        </w:rPr>
        <w:t>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………………………………………………….………………………………………………………………………………</w:t>
      </w:r>
      <w:r>
        <w:rPr>
          <w:rFonts w:cs="Calibri"/>
        </w:rPr>
        <w:t>……………</w:t>
      </w:r>
      <w:r w:rsidRPr="00BE2041">
        <w:rPr>
          <w:rFonts w:cs="Calibri"/>
        </w:rPr>
        <w:t>…………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</w:t>
      </w:r>
      <w:r>
        <w:rPr>
          <w:rFonts w:cs="Calibri"/>
        </w:rPr>
        <w:t>……………</w:t>
      </w:r>
      <w:r w:rsidRPr="00BE2041">
        <w:rPr>
          <w:rFonts w:cs="Calibri"/>
        </w:rPr>
        <w:t>……………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</w:t>
      </w:r>
      <w:r>
        <w:rPr>
          <w:rFonts w:cs="Calibri"/>
        </w:rPr>
        <w:t>……………</w:t>
      </w:r>
      <w:r w:rsidRPr="00BE2041">
        <w:rPr>
          <w:rFonts w:cs="Calibri"/>
        </w:rPr>
        <w:t>……………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………………………………………………….…………………………………………………………………………………</w:t>
      </w:r>
      <w:r>
        <w:rPr>
          <w:rFonts w:cs="Calibri"/>
        </w:rPr>
        <w:t>……………</w:t>
      </w:r>
      <w:r w:rsidRPr="00BE2041">
        <w:rPr>
          <w:rFonts w:cs="Calibri"/>
        </w:rPr>
        <w:t>………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………………………………………………….……………………………………………………………………………………</w:t>
      </w:r>
      <w:r>
        <w:rPr>
          <w:rFonts w:cs="Calibri"/>
        </w:rPr>
        <w:t>…………..</w:t>
      </w:r>
      <w:r w:rsidRPr="00BE2041">
        <w:rPr>
          <w:rFonts w:cs="Calibri"/>
        </w:rPr>
        <w:t>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………………………………………………….……………………………………………………………………………………</w:t>
      </w:r>
      <w:r>
        <w:rPr>
          <w:rFonts w:cs="Calibri"/>
        </w:rPr>
        <w:t>…………..</w:t>
      </w:r>
      <w:r w:rsidRPr="00BE2041">
        <w:rPr>
          <w:rFonts w:cs="Calibri"/>
        </w:rPr>
        <w:t>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………………………………………………….………………………………………………………………………………………</w:t>
      </w:r>
      <w:r>
        <w:rPr>
          <w:rFonts w:cs="Calibri"/>
        </w:rPr>
        <w:t>…………..</w:t>
      </w:r>
      <w:r w:rsidRPr="00BE2041">
        <w:rPr>
          <w:rFonts w:cs="Calibri"/>
        </w:rPr>
        <w:t>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  <w:b/>
          <w:bCs/>
        </w:rPr>
      </w:pPr>
      <w:r w:rsidRPr="00BE2041">
        <w:rPr>
          <w:rFonts w:cs="Calibri"/>
          <w:b/>
          <w:bCs/>
        </w:rPr>
        <w:t xml:space="preserve">Dane osobowe osoby, której dotyczy zgłoszenie niezbędne do jej identyfikacji: 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Imię i nazwisko:</w:t>
      </w:r>
      <w:r w:rsidRPr="00BE2041">
        <w:rPr>
          <w:rFonts w:cs="Calibri"/>
        </w:rPr>
        <w:tab/>
        <w:t>…………………………………………………………………………………………………………….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  <w:b/>
          <w:bCs/>
        </w:rPr>
      </w:pP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  <w:b/>
          <w:bCs/>
        </w:rPr>
        <w:t xml:space="preserve">Dane osobowe, ewentualnych świadków naruszenia prawa, jakiego dotyczy zgłoszenie wewnętrzne: 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Imię i nazwisko:</w:t>
      </w:r>
      <w:r w:rsidRPr="00BE2041">
        <w:rPr>
          <w:rFonts w:cs="Calibri"/>
        </w:rPr>
        <w:tab/>
        <w:t>…………………………………………………………………………………………………………….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  <w:b/>
          <w:bCs/>
        </w:rPr>
        <w:t>Dane osobowe osoby pomagającej w dokonaniu zgłoszenia: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Imię i nazwisko:</w:t>
      </w:r>
      <w:r w:rsidRPr="00BE2041">
        <w:rPr>
          <w:rFonts w:cs="Calibri"/>
        </w:rPr>
        <w:tab/>
        <w:t>…………………………………………………………………………………………………………….</w:t>
      </w:r>
    </w:p>
    <w:p w:rsidR="005E4263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………………</w:t>
      </w:r>
      <w:r>
        <w:rPr>
          <w:rFonts w:cs="Calibri"/>
        </w:rPr>
        <w:t>……</w:t>
      </w:r>
      <w:r w:rsidRPr="00BE2041">
        <w:rPr>
          <w:rFonts w:cs="Calibri"/>
        </w:rPr>
        <w:t>………………………………….…………………………………………………………………………………………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  <w:b/>
          <w:bCs/>
        </w:rPr>
      </w:pPr>
      <w:r w:rsidRPr="00BE2041">
        <w:rPr>
          <w:rFonts w:cs="Calibri"/>
          <w:b/>
          <w:bCs/>
        </w:rPr>
        <w:t xml:space="preserve">Dane osobowe, osoby zgłaszającej: 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  <w:r w:rsidRPr="00BE2041">
        <w:rPr>
          <w:rFonts w:cs="Calibri"/>
        </w:rPr>
        <w:t>Imię i nazwisko:</w:t>
      </w:r>
      <w:r w:rsidRPr="00BE2041">
        <w:rPr>
          <w:rFonts w:cs="Calibri"/>
        </w:rPr>
        <w:tab/>
        <w:t>…………………………………………………………………………………………………………….</w:t>
      </w: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</w:rPr>
      </w:pPr>
    </w:p>
    <w:p w:rsidR="005E4263" w:rsidRPr="00BE2041" w:rsidRDefault="005E4263" w:rsidP="005E4263">
      <w:pPr>
        <w:pStyle w:val="Akapitzlist"/>
        <w:spacing w:line="276" w:lineRule="auto"/>
        <w:ind w:left="0"/>
        <w:jc w:val="both"/>
        <w:rPr>
          <w:rFonts w:cs="Calibri"/>
          <w:b/>
          <w:bCs/>
        </w:rPr>
      </w:pPr>
      <w:r w:rsidRPr="00BE2041">
        <w:rPr>
          <w:rFonts w:cs="Calibri"/>
          <w:b/>
          <w:bCs/>
        </w:rPr>
        <w:t xml:space="preserve">Adres do kontaktu z sygnalistą: </w:t>
      </w:r>
    </w:p>
    <w:p w:rsidR="005E4263" w:rsidRPr="00BE2041" w:rsidRDefault="005E4263" w:rsidP="005E4263">
      <w:pPr>
        <w:pStyle w:val="Akapitzlist"/>
        <w:spacing w:line="276" w:lineRule="auto"/>
        <w:ind w:left="0" w:firstLine="708"/>
        <w:jc w:val="both"/>
        <w:rPr>
          <w:rFonts w:cs="Calibri"/>
        </w:rPr>
      </w:pPr>
      <w:r w:rsidRPr="00BE2041">
        <w:rPr>
          <w:rFonts w:cs="Calibri"/>
        </w:rPr>
        <w:t xml:space="preserve">Adres korespondencyjny: </w:t>
      </w:r>
      <w:r w:rsidRPr="00BE2041">
        <w:rPr>
          <w:rFonts w:cs="Calibri"/>
        </w:rPr>
        <w:tab/>
        <w:t>……………………………………………………………………………………….</w:t>
      </w:r>
    </w:p>
    <w:p w:rsidR="005E4263" w:rsidRPr="00BE2041" w:rsidRDefault="005E4263" w:rsidP="005E4263">
      <w:pPr>
        <w:pStyle w:val="Akapitzlist"/>
        <w:spacing w:line="276" w:lineRule="auto"/>
        <w:ind w:left="2832" w:firstLine="708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………………………………………………………………………………………</w:t>
      </w:r>
    </w:p>
    <w:p w:rsidR="005E4263" w:rsidRPr="00BE2041" w:rsidRDefault="005E4263" w:rsidP="005E4263">
      <w:pPr>
        <w:pStyle w:val="Akapitzlist"/>
        <w:spacing w:line="276" w:lineRule="auto"/>
        <w:ind w:left="2832" w:firstLine="708"/>
        <w:jc w:val="both"/>
        <w:rPr>
          <w:rFonts w:cs="Calibri"/>
        </w:rPr>
      </w:pPr>
      <w:r w:rsidRPr="00BE2041">
        <w:rPr>
          <w:rFonts w:cs="Calibri"/>
        </w:rPr>
        <w:t>………………………………………………………………………………………</w:t>
      </w:r>
    </w:p>
    <w:p w:rsidR="005E4263" w:rsidRDefault="005E4263" w:rsidP="005E4263">
      <w:pPr>
        <w:pStyle w:val="Akapitzlist"/>
        <w:spacing w:line="276" w:lineRule="auto"/>
        <w:ind w:left="0" w:firstLine="708"/>
        <w:jc w:val="both"/>
        <w:rPr>
          <w:rFonts w:cs="Calibri"/>
        </w:rPr>
      </w:pPr>
      <w:r w:rsidRPr="00BE2041">
        <w:rPr>
          <w:rFonts w:cs="Calibri"/>
        </w:rPr>
        <w:t xml:space="preserve">Adres email: </w:t>
      </w:r>
      <w:r w:rsidRPr="00BE2041">
        <w:rPr>
          <w:rFonts w:cs="Calibri"/>
        </w:rPr>
        <w:tab/>
      </w:r>
      <w:r w:rsidRPr="00BE2041">
        <w:rPr>
          <w:rFonts w:cs="Calibri"/>
        </w:rPr>
        <w:tab/>
      </w:r>
      <w:r w:rsidRPr="00BE2041">
        <w:rPr>
          <w:rFonts w:cs="Calibri"/>
        </w:rPr>
        <w:tab/>
        <w:t>……………………………………………………………………………………….</w:t>
      </w:r>
    </w:p>
    <w:p w:rsidR="005E4263" w:rsidRDefault="005E4263" w:rsidP="005E4263">
      <w:pPr>
        <w:spacing w:after="0" w:line="240" w:lineRule="auto"/>
        <w:jc w:val="both"/>
        <w:rPr>
          <w:rFonts w:cs="Calibri"/>
        </w:rPr>
      </w:pPr>
    </w:p>
    <w:p w:rsidR="005E4263" w:rsidRDefault="005E4263" w:rsidP="005E4263">
      <w:pPr>
        <w:spacing w:after="0" w:line="240" w:lineRule="auto"/>
        <w:jc w:val="both"/>
        <w:rPr>
          <w:rFonts w:cs="Calibri"/>
        </w:rPr>
      </w:pPr>
    </w:p>
    <w:p w:rsidR="005E4263" w:rsidRDefault="005E4263" w:rsidP="005E4263">
      <w:pPr>
        <w:spacing w:after="0" w:line="240" w:lineRule="auto"/>
        <w:jc w:val="both"/>
        <w:rPr>
          <w:rFonts w:cs="Calibri"/>
        </w:rPr>
      </w:pPr>
    </w:p>
    <w:p w:rsidR="005E4263" w:rsidRDefault="005E4263" w:rsidP="005E4263">
      <w:pPr>
        <w:spacing w:after="0" w:line="240" w:lineRule="auto"/>
        <w:jc w:val="both"/>
        <w:rPr>
          <w:rFonts w:cs="Calibri"/>
        </w:rPr>
      </w:pPr>
    </w:p>
    <w:p w:rsidR="005E4263" w:rsidRPr="00BE2041" w:rsidRDefault="005E4263" w:rsidP="005E4263">
      <w:pPr>
        <w:spacing w:after="0" w:line="240" w:lineRule="auto"/>
        <w:ind w:left="354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</w:t>
      </w:r>
      <w:r w:rsidRPr="00BE2041">
        <w:rPr>
          <w:rFonts w:cs="Calibri"/>
        </w:rPr>
        <w:t>………..…………………</w:t>
      </w:r>
      <w:r>
        <w:rPr>
          <w:rFonts w:cs="Calibri"/>
        </w:rPr>
        <w:t>…………</w:t>
      </w:r>
      <w:r w:rsidRPr="00BE2041">
        <w:rPr>
          <w:rFonts w:cs="Calibri"/>
        </w:rPr>
        <w:t>……………………………………..……..</w:t>
      </w:r>
    </w:p>
    <w:p w:rsidR="005E4263" w:rsidRPr="009738E4" w:rsidRDefault="005E4263" w:rsidP="005E4263">
      <w:pPr>
        <w:spacing w:after="0" w:line="240" w:lineRule="auto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</w:rPr>
        <w:t xml:space="preserve">                                                                           </w:t>
      </w:r>
      <w:r w:rsidRPr="009738E4">
        <w:rPr>
          <w:rFonts w:cs="Calibri"/>
          <w:i/>
          <w:sz w:val="18"/>
          <w:szCs w:val="18"/>
        </w:rPr>
        <w:t>Data</w:t>
      </w:r>
      <w:r>
        <w:rPr>
          <w:rFonts w:cs="Calibri"/>
          <w:i/>
          <w:sz w:val="18"/>
          <w:szCs w:val="18"/>
        </w:rPr>
        <w:t xml:space="preserve"> </w:t>
      </w:r>
      <w:r w:rsidRPr="009738E4">
        <w:rPr>
          <w:rFonts w:cs="Calibri"/>
          <w:i/>
          <w:sz w:val="18"/>
          <w:szCs w:val="18"/>
        </w:rPr>
        <w:t>i podpis osoby dokonującej zgłoszenia wewnętrznego</w:t>
      </w:r>
    </w:p>
    <w:p w:rsidR="005E4263" w:rsidRDefault="005E4263" w:rsidP="005E4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20E6" w:rsidRDefault="00B120E6"/>
    <w:sectPr w:rsidR="00B1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92D"/>
    <w:multiLevelType w:val="hybridMultilevel"/>
    <w:tmpl w:val="60C604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8009B"/>
    <w:multiLevelType w:val="hybridMultilevel"/>
    <w:tmpl w:val="BFB2B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63"/>
    <w:rsid w:val="002F2E97"/>
    <w:rsid w:val="005E4263"/>
    <w:rsid w:val="00B1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272F9-BD2B-4AAA-8768-40C8C8E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263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42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E42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Styl 1,Preambuła,RR PGE Akapit z listą"/>
    <w:basedOn w:val="Normalny"/>
    <w:link w:val="AkapitzlistZnak"/>
    <w:uiPriority w:val="34"/>
    <w:qFormat/>
    <w:rsid w:val="005E4263"/>
    <w:pPr>
      <w:ind w:left="720"/>
      <w:contextualSpacing/>
    </w:pPr>
  </w:style>
  <w:style w:type="character" w:customStyle="1" w:styleId="AkapitzlistZnak">
    <w:name w:val="Akapit z listą Znak"/>
    <w:aliases w:val="Styl 1 Znak,Preambuła Znak,RR PGE Akapit z listą Znak"/>
    <w:link w:val="Akapitzlist"/>
    <w:uiPriority w:val="34"/>
    <w:qFormat/>
    <w:locked/>
    <w:rsid w:val="005E4263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5E42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uiPriority w:val="11"/>
    <w:qFormat/>
    <w:rsid w:val="005E42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dcterms:created xsi:type="dcterms:W3CDTF">2024-10-30T12:20:00Z</dcterms:created>
  <dcterms:modified xsi:type="dcterms:W3CDTF">2024-10-30T12:20:00Z</dcterms:modified>
</cp:coreProperties>
</file>